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023" w:rsidRPr="001F6023" w:rsidRDefault="001F6023" w:rsidP="001F6023">
      <w:pPr>
        <w:jc w:val="center"/>
        <w:rPr>
          <w:b/>
          <w:sz w:val="40"/>
          <w:szCs w:val="40"/>
          <w:u w:val="single"/>
        </w:rPr>
      </w:pPr>
      <w:r w:rsidRPr="001F6023">
        <w:rPr>
          <w:b/>
          <w:sz w:val="40"/>
          <w:szCs w:val="40"/>
          <w:u w:val="single"/>
        </w:rPr>
        <w:t>Lost Hills</w:t>
      </w:r>
      <w:r>
        <w:rPr>
          <w:b/>
          <w:sz w:val="40"/>
          <w:szCs w:val="40"/>
          <w:u w:val="single"/>
        </w:rPr>
        <w:t xml:space="preserve"> LCERP</w:t>
      </w:r>
      <w:r w:rsidRPr="001F6023">
        <w:rPr>
          <w:b/>
          <w:sz w:val="40"/>
          <w:szCs w:val="40"/>
          <w:u w:val="single"/>
        </w:rPr>
        <w:t xml:space="preserve"> Strategies</w:t>
      </w:r>
    </w:p>
    <w:tbl>
      <w:tblPr>
        <w:tblW w:w="0" w:type="auto"/>
        <w:tblCellMar>
          <w:top w:w="15" w:type="dxa"/>
          <w:left w:w="15" w:type="dxa"/>
          <w:bottom w:w="15" w:type="dxa"/>
          <w:right w:w="15" w:type="dxa"/>
        </w:tblCellMar>
        <w:tblLook w:val="04A0" w:firstRow="1" w:lastRow="0" w:firstColumn="1" w:lastColumn="0" w:noHBand="0" w:noVBand="1"/>
      </w:tblPr>
      <w:tblGrid>
        <w:gridCol w:w="2655"/>
        <w:gridCol w:w="6685"/>
      </w:tblGrid>
      <w:tr w:rsidR="001F6023" w:rsidRPr="001F6023" w:rsidTr="001F6023">
        <w:trPr>
          <w:trHeight w:val="645"/>
        </w:trPr>
        <w:tc>
          <w:tcPr>
            <w:tcW w:w="0" w:type="auto"/>
            <w:tcBorders>
              <w:top w:val="single" w:sz="8" w:space="0" w:color="000000"/>
              <w:left w:val="single" w:sz="8" w:space="0" w:color="000000"/>
              <w:bottom w:val="single" w:sz="8" w:space="0" w:color="000000"/>
              <w:right w:val="single" w:sz="4"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b/>
                <w:bCs/>
                <w:color w:val="000000"/>
                <w:sz w:val="24"/>
                <w:szCs w:val="24"/>
              </w:rPr>
              <w:t>Source of Contamination</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b/>
                <w:bCs/>
                <w:color w:val="000000"/>
                <w:sz w:val="24"/>
                <w:szCs w:val="24"/>
              </w:rPr>
              <w:t>Proposed Strategy</w:t>
            </w:r>
          </w:p>
        </w:tc>
      </w:tr>
      <w:tr w:rsidR="001F6023" w:rsidRPr="001F6023" w:rsidTr="001F6023">
        <w:trPr>
          <w:trHeight w:val="645"/>
        </w:trPr>
        <w:tc>
          <w:tcPr>
            <w:tcW w:w="0" w:type="auto"/>
            <w:vMerge w:val="restart"/>
            <w:tcBorders>
              <w:top w:val="single" w:sz="8" w:space="0" w:color="000000"/>
              <w:left w:val="single" w:sz="8" w:space="0" w:color="000000"/>
              <w:bottom w:val="single" w:sz="8" w:space="0" w:color="000000"/>
              <w:right w:val="single" w:sz="4" w:space="0" w:color="000000"/>
            </w:tcBorders>
            <w:tcMar>
              <w:top w:w="0" w:type="dxa"/>
              <w:left w:w="100" w:type="dxa"/>
              <w:bottom w:w="0" w:type="dxa"/>
              <w:right w:w="100" w:type="dxa"/>
            </w:tcMar>
            <w:hideMark/>
          </w:tcPr>
          <w:p w:rsidR="001F6023" w:rsidRPr="001F6023" w:rsidRDefault="001F6023" w:rsidP="001F6023">
            <w:pPr>
              <w:spacing w:before="240" w:after="0" w:line="240" w:lineRule="auto"/>
              <w:ind w:left="140"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Food Processing &amp; Industrial Operations</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 xml:space="preserve">The LCSC requests the Air District and CARB to provide a list of equipment and mobile sources of pollution that receive permits from the District, a schedule of inspections, and a list of violations. </w:t>
            </w:r>
            <w:proofErr w:type="gramStart"/>
            <w:r w:rsidRPr="001F6023">
              <w:rPr>
                <w:rFonts w:ascii="Arial" w:eastAsia="Times New Roman" w:hAnsi="Arial" w:cs="Arial"/>
                <w:color w:val="000000"/>
                <w:sz w:val="24"/>
                <w:szCs w:val="24"/>
              </w:rPr>
              <w:t>Additionally</w:t>
            </w:r>
            <w:proofErr w:type="gramEnd"/>
            <w:r w:rsidRPr="001F6023">
              <w:rPr>
                <w:rFonts w:ascii="Arial" w:eastAsia="Times New Roman" w:hAnsi="Arial" w:cs="Arial"/>
                <w:color w:val="000000"/>
                <w:sz w:val="24"/>
                <w:szCs w:val="24"/>
              </w:rPr>
              <w:t xml:space="preserve"> the LCSC request and increase in inspections and enforcement on Stationary Sources within the community boundary.</w:t>
            </w:r>
          </w:p>
        </w:tc>
      </w:tr>
      <w:tr w:rsidR="001F6023" w:rsidRPr="001F6023" w:rsidTr="001F6023">
        <w:trPr>
          <w:trHeight w:val="645"/>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the CARB Mobile Roadside Source Inspection Team to conduct roadside inspections on the facility's local route and the locations where residents have noticed chronic idling</w:t>
            </w:r>
          </w:p>
        </w:tc>
      </w:tr>
      <w:tr w:rsidR="001F6023" w:rsidRPr="001F6023" w:rsidTr="001F6023">
        <w:trPr>
          <w:trHeight w:val="645"/>
        </w:trPr>
        <w:tc>
          <w:tcPr>
            <w:tcW w:w="0" w:type="auto"/>
            <w:vMerge w:val="restart"/>
            <w:tcBorders>
              <w:top w:val="single" w:sz="8" w:space="0" w:color="000000"/>
              <w:left w:val="single" w:sz="8" w:space="0" w:color="000000"/>
              <w:bottom w:val="single" w:sz="8" w:space="0" w:color="000000"/>
              <w:right w:val="single" w:sz="4" w:space="0" w:color="000000"/>
            </w:tcBorders>
            <w:tcMar>
              <w:top w:w="0" w:type="dxa"/>
              <w:left w:w="100" w:type="dxa"/>
              <w:bottom w:w="0" w:type="dxa"/>
              <w:right w:w="100" w:type="dxa"/>
            </w:tcMar>
            <w:hideMark/>
          </w:tcPr>
          <w:p w:rsidR="001F6023" w:rsidRPr="001F6023" w:rsidRDefault="001F6023" w:rsidP="001F6023">
            <w:pPr>
              <w:spacing w:before="240" w:after="0" w:line="240" w:lineRule="auto"/>
              <w:ind w:left="140"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Fugitive Dust</w:t>
            </w:r>
          </w:p>
        </w:tc>
        <w:tc>
          <w:tcPr>
            <w:tcW w:w="0" w:type="auto"/>
            <w:tcBorders>
              <w:top w:val="single" w:sz="8"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is calling on the Air District to reduce fugitive dust emissions from agricultural operations through increased disclosure and access to incentives to purchase less polluting agricultural harvesting equipment (zero or near-zero emissions).</w:t>
            </w:r>
          </w:p>
        </w:tc>
      </w:tr>
      <w:tr w:rsidR="001F6023" w:rsidRPr="001F6023" w:rsidTr="001F6023">
        <w:trPr>
          <w:trHeight w:val="6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LCSC is calling on the Air District to replace four pistachio or almond harvesters in Lost Hills with cleaner (zero- or near-zero-emission) technology and for more funding to be offered for electric vehicle technologies</w:t>
            </w:r>
          </w:p>
        </w:tc>
      </w:tr>
      <w:tr w:rsidR="001F6023" w:rsidRPr="001F6023" w:rsidTr="001F6023">
        <w:trPr>
          <w:trHeight w:val="315"/>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that Kern County fund more sidewalks and street paving projects to reduce dust from traffic on unpaved areas.</w:t>
            </w:r>
          </w:p>
        </w:tc>
      </w:tr>
      <w:tr w:rsidR="001F6023" w:rsidRPr="001F6023" w:rsidTr="001F6023">
        <w:trPr>
          <w:trHeight w:val="315"/>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is calling on the Air District to reduce particulate matter exposure in the community by developing a Vegetative Barrier Plan</w:t>
            </w:r>
          </w:p>
        </w:tc>
      </w:tr>
      <w:tr w:rsidR="001F6023" w:rsidRPr="001F6023" w:rsidTr="001F6023">
        <w:trPr>
          <w:trHeight w:val="315"/>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LCSC will develop an Urban Greening Plan in partnership with governing agencies </w:t>
            </w:r>
          </w:p>
        </w:tc>
      </w:tr>
      <w:tr w:rsidR="001F6023" w:rsidRPr="001F6023" w:rsidTr="001F6023">
        <w:trPr>
          <w:trHeight w:val="315"/>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 xml:space="preserve">Wood Burning Alternative e LCSC requests the Air District to organize a workshop </w:t>
            </w:r>
            <w:r w:rsidR="00306C7B">
              <w:rPr>
                <w:rFonts w:ascii="Arial" w:eastAsia="Times New Roman" w:hAnsi="Arial" w:cs="Arial"/>
                <w:color w:val="000000"/>
                <w:sz w:val="24"/>
                <w:szCs w:val="24"/>
              </w:rPr>
              <w:t xml:space="preserve">in Lost </w:t>
            </w:r>
            <w:proofErr w:type="spellStart"/>
            <w:r w:rsidR="00306C7B">
              <w:rPr>
                <w:rFonts w:ascii="Arial" w:eastAsia="Times New Roman" w:hAnsi="Arial" w:cs="Arial"/>
                <w:color w:val="000000"/>
                <w:sz w:val="24"/>
                <w:szCs w:val="24"/>
              </w:rPr>
              <w:t>Hills</w:t>
            </w:r>
            <w:r w:rsidRPr="001F6023">
              <w:rPr>
                <w:rFonts w:ascii="Arial" w:eastAsia="Times New Roman" w:hAnsi="Arial" w:cs="Arial"/>
                <w:color w:val="000000"/>
                <w:sz w:val="24"/>
                <w:szCs w:val="24"/>
              </w:rPr>
              <w:t>to</w:t>
            </w:r>
            <w:proofErr w:type="spellEnd"/>
            <w:r w:rsidRPr="001F6023">
              <w:rPr>
                <w:rFonts w:ascii="Arial" w:eastAsia="Times New Roman" w:hAnsi="Arial" w:cs="Arial"/>
                <w:color w:val="000000"/>
                <w:sz w:val="24"/>
                <w:szCs w:val="24"/>
              </w:rPr>
              <w:t xml:space="preserve"> educate the local farming community on open burning regulations, the smoke management program, and incentives to reduce burning through other methods.</w:t>
            </w:r>
          </w:p>
        </w:tc>
      </w:tr>
      <w:tr w:rsidR="001F6023" w:rsidRPr="001F6023" w:rsidTr="001F6023">
        <w:trPr>
          <w:trHeight w:val="315"/>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will advocate for the prioritization of Public Vehicle Replacement</w:t>
            </w:r>
          </w:p>
        </w:tc>
      </w:tr>
      <w:tr w:rsidR="001F6023" w:rsidRPr="001F6023" w:rsidTr="001F6023">
        <w:trPr>
          <w:trHeight w:val="315"/>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before="240" w:after="240" w:line="240" w:lineRule="auto"/>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that Kern County fund more sidewalks and street paving projects to reduce dust from traffic on unpaved areas.</w:t>
            </w:r>
          </w:p>
        </w:tc>
      </w:tr>
      <w:tr w:rsidR="001F6023" w:rsidRPr="001F6023" w:rsidTr="001F6023">
        <w:trPr>
          <w:trHeight w:val="3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is also requesting a workshop on the fugitive dust rule and its application in agricultural and construction operations and dust control strategies.</w:t>
            </w:r>
          </w:p>
        </w:tc>
      </w:tr>
      <w:tr w:rsidR="001F6023" w:rsidRPr="001F6023" w:rsidTr="001F6023">
        <w:trPr>
          <w:trHeight w:val="645"/>
        </w:trPr>
        <w:tc>
          <w:tcPr>
            <w:tcW w:w="0" w:type="auto"/>
            <w:tcBorders>
              <w:top w:val="single" w:sz="4" w:space="0" w:color="000000"/>
              <w:left w:val="single" w:sz="8" w:space="0" w:color="000000"/>
              <w:bottom w:val="single" w:sz="8" w:space="0" w:color="000000"/>
              <w:right w:val="single" w:sz="4" w:space="0" w:color="000000"/>
            </w:tcBorders>
            <w:tcMar>
              <w:top w:w="0" w:type="dxa"/>
              <w:left w:w="100" w:type="dxa"/>
              <w:bottom w:w="0" w:type="dxa"/>
              <w:right w:w="100" w:type="dxa"/>
            </w:tcMar>
            <w:hideMark/>
          </w:tcPr>
          <w:p w:rsidR="001F6023" w:rsidRPr="001F6023" w:rsidRDefault="001F6023" w:rsidP="001F6023">
            <w:pPr>
              <w:spacing w:before="240" w:after="0" w:line="240" w:lineRule="auto"/>
              <w:ind w:left="140"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Heavy-duty Mobile Sources (Diesel)</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calls for increased disclosure and funding for zero- and near-zero emission technologies. The Air District should encourage small and large business owners in Lost Hills to participate and promote all-electric, zero-emission technology.</w:t>
            </w:r>
          </w:p>
        </w:tc>
      </w:tr>
      <w:tr w:rsidR="001F6023" w:rsidRPr="001F6023" w:rsidTr="001F6023">
        <w:trPr>
          <w:trHeight w:val="330"/>
        </w:trPr>
        <w:tc>
          <w:tcPr>
            <w:tcW w:w="0" w:type="auto"/>
            <w:vMerge w:val="restart"/>
            <w:tcBorders>
              <w:top w:val="single" w:sz="8" w:space="0" w:color="000000"/>
              <w:left w:val="single" w:sz="8" w:space="0" w:color="000000"/>
              <w:bottom w:val="single" w:sz="4" w:space="0" w:color="000000"/>
              <w:right w:val="single" w:sz="4" w:space="0" w:color="000000"/>
            </w:tcBorders>
            <w:tcMar>
              <w:top w:w="0" w:type="dxa"/>
              <w:left w:w="100" w:type="dxa"/>
              <w:bottom w:w="0" w:type="dxa"/>
              <w:right w:w="100" w:type="dxa"/>
            </w:tcMar>
            <w:hideMark/>
          </w:tcPr>
          <w:p w:rsidR="001F6023" w:rsidRPr="001F6023" w:rsidRDefault="001F6023" w:rsidP="001F6023">
            <w:pPr>
              <w:spacing w:before="240" w:after="0" w:line="240" w:lineRule="auto"/>
              <w:ind w:left="140"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Diesel emissions from trucks, buses, and other vehicles</w:t>
            </w:r>
          </w:p>
        </w:tc>
        <w:tc>
          <w:tcPr>
            <w:tcW w:w="0" w:type="auto"/>
            <w:tcBorders>
              <w:top w:val="single" w:sz="8"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will be working to address the health and safety impacts of diesel pollution in Lost Hills, California.</w:t>
            </w:r>
          </w:p>
        </w:tc>
      </w:tr>
      <w:tr w:rsidR="001F6023" w:rsidRPr="001F6023" w:rsidTr="001F6023">
        <w:trPr>
          <w:trHeight w:val="31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 the prioritization of Lost Hills School Districts for Electric bus replacement funding </w:t>
            </w:r>
          </w:p>
        </w:tc>
      </w:tr>
      <w:tr w:rsidR="001F6023" w:rsidRPr="001F6023" w:rsidTr="001F6023">
        <w:trPr>
          <w:trHeight w:val="31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aims to understand existing rules, incentives, and enforcement strategies for trucks, buses, and other highway vehicles.</w:t>
            </w:r>
          </w:p>
        </w:tc>
      </w:tr>
      <w:tr w:rsidR="001F6023" w:rsidRPr="001F6023" w:rsidTr="001F6023">
        <w:trPr>
          <w:trHeight w:val="5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24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plans to develop a list of eligible vehicles and set targets for incentive programs.</w:t>
            </w:r>
          </w:p>
        </w:tc>
      </w:tr>
      <w:tr w:rsidR="001F6023" w:rsidRPr="001F6023" w:rsidTr="001F6023">
        <w:trPr>
          <w:trHeight w:val="31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calls on CARB and Kern County to join efforts to place no idling signs and conduct inspections in the areas where chronic idling is occurring.</w:t>
            </w:r>
          </w:p>
        </w:tc>
      </w:tr>
      <w:tr w:rsidR="001F6023" w:rsidRPr="001F6023" w:rsidTr="001F6023">
        <w:trPr>
          <w:trHeight w:val="3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will also organize actions to enforce roadside regulations, raise awareness about diesel pollution, and study truck routes near residential areas.</w:t>
            </w:r>
          </w:p>
        </w:tc>
      </w:tr>
      <w:tr w:rsidR="001F6023" w:rsidRPr="001F6023" w:rsidTr="001F6023">
        <w:trPr>
          <w:trHeight w:val="330"/>
        </w:trPr>
        <w:tc>
          <w:tcPr>
            <w:tcW w:w="0" w:type="auto"/>
            <w:vMerge w:val="restart"/>
            <w:tcBorders>
              <w:top w:val="single" w:sz="4" w:space="0" w:color="000000"/>
              <w:left w:val="single" w:sz="8" w:space="0" w:color="000000"/>
              <w:bottom w:val="single" w:sz="8" w:space="0" w:color="000000"/>
              <w:right w:val="single" w:sz="4" w:space="0" w:color="000000"/>
            </w:tcBorders>
            <w:tcMar>
              <w:top w:w="0" w:type="dxa"/>
              <w:left w:w="100" w:type="dxa"/>
              <w:bottom w:w="0" w:type="dxa"/>
              <w:right w:w="100" w:type="dxa"/>
            </w:tcMar>
            <w:hideMark/>
          </w:tcPr>
          <w:p w:rsidR="001F6023" w:rsidRPr="001F6023" w:rsidRDefault="001F6023" w:rsidP="001F6023">
            <w:pPr>
              <w:spacing w:before="240" w:after="0" w:line="240" w:lineRule="auto"/>
              <w:ind w:left="140"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Off-Highway Diesel Emissions</w:t>
            </w:r>
          </w:p>
        </w:tc>
        <w:tc>
          <w:tcPr>
            <w:tcW w:w="0" w:type="auto"/>
            <w:tcBorders>
              <w:top w:val="single" w:sz="8"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that the Air District notify them whenever stationery sources apply for permits to build or modify their operations.</w:t>
            </w:r>
          </w:p>
        </w:tc>
      </w:tr>
      <w:tr w:rsidR="001F6023" w:rsidRPr="001F6023" w:rsidTr="001F6023">
        <w:trPr>
          <w:trHeight w:val="315"/>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is interested in learning more about resources and opportunities to upgrade small sources such as water pump motors, etc.</w:t>
            </w:r>
          </w:p>
        </w:tc>
      </w:tr>
      <w:tr w:rsidR="001F6023" w:rsidRPr="001F6023" w:rsidTr="001F6023">
        <w:trPr>
          <w:trHeight w:val="645"/>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Many operations use diesel generators for emergencies to keep their operations running, these could be replaced by solar microgrids and batteries.  The LCSC requests a list of permits for diesel generators in the community.</w:t>
            </w:r>
          </w:p>
        </w:tc>
      </w:tr>
      <w:tr w:rsidR="001F6023" w:rsidRPr="001F6023" w:rsidTr="001F6023">
        <w:trPr>
          <w:trHeight w:val="330"/>
        </w:trPr>
        <w:tc>
          <w:tcPr>
            <w:tcW w:w="0" w:type="auto"/>
            <w:vMerge w:val="restart"/>
            <w:tcBorders>
              <w:top w:val="single" w:sz="8" w:space="0" w:color="000000"/>
              <w:left w:val="single" w:sz="8" w:space="0" w:color="000000"/>
              <w:bottom w:val="single" w:sz="8" w:space="0" w:color="000000"/>
              <w:right w:val="single" w:sz="4" w:space="0" w:color="000000"/>
            </w:tcBorders>
            <w:tcMar>
              <w:top w:w="0" w:type="dxa"/>
              <w:left w:w="100" w:type="dxa"/>
              <w:bottom w:w="0" w:type="dxa"/>
              <w:right w:w="100" w:type="dxa"/>
            </w:tcMar>
            <w:hideMark/>
          </w:tcPr>
          <w:p w:rsidR="001F6023" w:rsidRPr="001F6023" w:rsidRDefault="001F6023" w:rsidP="001F6023">
            <w:pPr>
              <w:spacing w:before="240" w:after="0" w:line="240" w:lineRule="auto"/>
              <w:ind w:left="140"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Toxic Emissions</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the Air District to make Public Records Requests more accessible to the community and train residents on how to submit PRR so they can understand what types of operations are permitted in their community.</w:t>
            </w:r>
          </w:p>
        </w:tc>
      </w:tr>
      <w:tr w:rsidR="001F6023" w:rsidRPr="001F6023" w:rsidTr="001F6023">
        <w:trPr>
          <w:trHeight w:val="3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before="240" w:after="24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Will develop a strategy plan to educate community members and youth on ambient air quality and related resources.</w:t>
            </w:r>
          </w:p>
        </w:tc>
      </w:tr>
      <w:tr w:rsidR="001F6023" w:rsidRPr="001F6023" w:rsidTr="001F6023">
        <w:trPr>
          <w:trHeight w:val="3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before="240" w:after="24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 xml:space="preserve">The LCSC requests the Air District to organize a workshop to educate the local community on open burning regulations, the smoke management program, and incentives to reduce burning through other </w:t>
            </w:r>
            <w:proofErr w:type="gramStart"/>
            <w:r w:rsidRPr="001F6023">
              <w:rPr>
                <w:rFonts w:ascii="Arial" w:eastAsia="Times New Roman" w:hAnsi="Arial" w:cs="Arial"/>
                <w:color w:val="000000"/>
                <w:sz w:val="24"/>
                <w:szCs w:val="24"/>
              </w:rPr>
              <w:t>methods .</w:t>
            </w:r>
            <w:proofErr w:type="gramEnd"/>
            <w:r w:rsidRPr="001F6023">
              <w:rPr>
                <w:rFonts w:ascii="Arial" w:eastAsia="Times New Roman" w:hAnsi="Arial" w:cs="Arial"/>
                <w:color w:val="000000"/>
                <w:sz w:val="24"/>
                <w:szCs w:val="24"/>
              </w:rPr>
              <w:t xml:space="preserve"> This would include education on Illegal wood </w:t>
            </w:r>
            <w:proofErr w:type="gramStart"/>
            <w:r w:rsidRPr="001F6023">
              <w:rPr>
                <w:rFonts w:ascii="Arial" w:eastAsia="Times New Roman" w:hAnsi="Arial" w:cs="Arial"/>
                <w:color w:val="000000"/>
                <w:sz w:val="24"/>
                <w:szCs w:val="24"/>
              </w:rPr>
              <w:t>burning,  residential</w:t>
            </w:r>
            <w:proofErr w:type="gramEnd"/>
            <w:r w:rsidRPr="001F6023">
              <w:rPr>
                <w:rFonts w:ascii="Arial" w:eastAsia="Times New Roman" w:hAnsi="Arial" w:cs="Arial"/>
                <w:color w:val="000000"/>
                <w:sz w:val="24"/>
                <w:szCs w:val="24"/>
              </w:rPr>
              <w:t xml:space="preserve"> burning and burning of residential waste</w:t>
            </w:r>
          </w:p>
        </w:tc>
      </w:tr>
      <w:tr w:rsidR="001F6023" w:rsidRPr="001F6023" w:rsidTr="001F6023">
        <w:trPr>
          <w:trHeight w:val="330"/>
        </w:trPr>
        <w:tc>
          <w:tcPr>
            <w:tcW w:w="0" w:type="auto"/>
            <w:vMerge w:val="restart"/>
            <w:tcBorders>
              <w:top w:val="single" w:sz="8" w:space="0" w:color="000000"/>
              <w:left w:val="single" w:sz="8" w:space="0" w:color="000000"/>
              <w:bottom w:val="single" w:sz="8" w:space="0" w:color="000000"/>
              <w:right w:val="single" w:sz="4" w:space="0" w:color="000000"/>
            </w:tcBorders>
            <w:tcMar>
              <w:top w:w="0" w:type="dxa"/>
              <w:left w:w="100" w:type="dxa"/>
              <w:bottom w:w="0" w:type="dxa"/>
              <w:right w:w="100" w:type="dxa"/>
            </w:tcMar>
            <w:hideMark/>
          </w:tcPr>
          <w:p w:rsidR="001F6023" w:rsidRPr="001F6023" w:rsidRDefault="001F6023" w:rsidP="001F6023">
            <w:pPr>
              <w:spacing w:before="240" w:after="0" w:line="240" w:lineRule="auto"/>
              <w:ind w:left="140"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Pesticides</w:t>
            </w:r>
          </w:p>
        </w:tc>
        <w:tc>
          <w:tcPr>
            <w:tcW w:w="0" w:type="auto"/>
            <w:tcBorders>
              <w:top w:val="single" w:sz="8"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306C7B" w:rsidRDefault="001F6023" w:rsidP="001F6023">
            <w:pPr>
              <w:spacing w:after="0" w:line="240" w:lineRule="auto"/>
              <w:ind w:right="140"/>
              <w:rPr>
                <w:rFonts w:ascii="Arial" w:eastAsia="Times New Roman" w:hAnsi="Arial" w:cs="Arial"/>
                <w:color w:val="000000"/>
                <w:sz w:val="24"/>
                <w:szCs w:val="24"/>
              </w:rPr>
            </w:pPr>
            <w:r w:rsidRPr="001F6023">
              <w:rPr>
                <w:rFonts w:ascii="Arial" w:eastAsia="Times New Roman" w:hAnsi="Arial" w:cs="Arial"/>
                <w:color w:val="000000"/>
                <w:sz w:val="24"/>
                <w:szCs w:val="24"/>
              </w:rPr>
              <w:t xml:space="preserve">Resident Participation in the Development of the State's Pre-Pesticide Notification System by providing feedback on the pilot conducted in </w:t>
            </w:r>
            <w:r w:rsidR="00306C7B">
              <w:rPr>
                <w:rFonts w:ascii="Arial" w:eastAsia="Times New Roman" w:hAnsi="Arial" w:cs="Arial"/>
                <w:color w:val="000000"/>
                <w:sz w:val="24"/>
                <w:szCs w:val="24"/>
              </w:rPr>
              <w:t>Kern</w:t>
            </w:r>
          </w:p>
          <w:p w:rsidR="001F6023" w:rsidRPr="001F6023" w:rsidRDefault="001F6023" w:rsidP="001F6023">
            <w:pPr>
              <w:spacing w:after="0" w:line="240" w:lineRule="auto"/>
              <w:ind w:right="140"/>
              <w:rPr>
                <w:rFonts w:ascii="Times New Roman" w:eastAsia="Times New Roman" w:hAnsi="Times New Roman" w:cs="Times New Roman"/>
                <w:sz w:val="24"/>
                <w:szCs w:val="24"/>
              </w:rPr>
            </w:pPr>
            <w:bookmarkStart w:id="0" w:name="_GoBack"/>
            <w:bookmarkEnd w:id="0"/>
            <w:r w:rsidRPr="001F6023">
              <w:rPr>
                <w:rFonts w:ascii="Arial" w:eastAsia="Times New Roman" w:hAnsi="Arial" w:cs="Arial"/>
                <w:color w:val="000000"/>
                <w:sz w:val="24"/>
                <w:szCs w:val="24"/>
              </w:rPr>
              <w:t xml:space="preserve"> County and recommendations for improvement.</w:t>
            </w:r>
          </w:p>
        </w:tc>
      </w:tr>
      <w:tr w:rsidR="001F6023" w:rsidRPr="001F6023" w:rsidTr="001F6023">
        <w:trPr>
          <w:trHeight w:val="3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the Department of Pesticide Regulation (DPR) to develop a robust State Pesticide Notification System Outreach Strategy.</w:t>
            </w:r>
          </w:p>
        </w:tc>
      </w:tr>
      <w:tr w:rsidR="001F6023" w:rsidRPr="001F6023" w:rsidTr="001F6023">
        <w:trPr>
          <w:trHeight w:val="3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before="240" w:after="24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DPR to implement in Lost Hills at least one pilot project based on the strategies included in the California Roadmap for Integrated Pest Management that will help local farmers reduce the use of pesticides.</w:t>
            </w:r>
          </w:p>
        </w:tc>
      </w:tr>
      <w:tr w:rsidR="001F6023" w:rsidRPr="001F6023" w:rsidTr="001F6023">
        <w:trPr>
          <w:trHeight w:val="3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DPR and the County Agricultural Commissioner to establish safety zones around the local schools.</w:t>
            </w:r>
          </w:p>
        </w:tc>
      </w:tr>
      <w:tr w:rsidR="001F6023" w:rsidRPr="001F6023" w:rsidTr="001F6023">
        <w:trPr>
          <w:trHeight w:val="3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LCSC will continue partnership efforts with research institutions to investigate and document the Health Impacts of Pesticides.</w:t>
            </w:r>
          </w:p>
        </w:tc>
      </w:tr>
      <w:tr w:rsidR="001F6023" w:rsidRPr="001F6023" w:rsidTr="001F6023">
        <w:trPr>
          <w:trHeight w:val="3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Identification of funding and technical experts to implement these strategies</w:t>
            </w:r>
          </w:p>
        </w:tc>
      </w:tr>
      <w:tr w:rsidR="001F6023" w:rsidRPr="001F6023" w:rsidTr="001F6023">
        <w:trPr>
          <w:trHeight w:val="3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DPR and the County Agricultural Commissioner to improve compliance with existing regulations and laws.</w:t>
            </w:r>
          </w:p>
        </w:tc>
      </w:tr>
      <w:tr w:rsidR="001F6023" w:rsidRPr="001F6023" w:rsidTr="001F6023">
        <w:trPr>
          <w:trHeight w:val="3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DPR and the County Ag Commissioner to organize workshops to educate residents about how to live safely near fields where and when pesticides are applied including a communication and outreach plan to reach community members where they are at. Outreach should include the following venues: schools, clubs, small businesses, chambers, public spaces, and places of worship.</w:t>
            </w:r>
          </w:p>
        </w:tc>
      </w:tr>
      <w:tr w:rsidR="001F6023" w:rsidRPr="001F6023" w:rsidTr="001F6023">
        <w:trPr>
          <w:trHeight w:val="330"/>
        </w:trPr>
        <w:tc>
          <w:tcPr>
            <w:tcW w:w="0" w:type="auto"/>
            <w:tcBorders>
              <w:top w:val="single" w:sz="8" w:space="0" w:color="000000"/>
              <w:left w:val="single" w:sz="8" w:space="0" w:color="000000"/>
              <w:bottom w:val="single" w:sz="8" w:space="0" w:color="000000"/>
              <w:right w:val="single" w:sz="4" w:space="0" w:color="000000"/>
            </w:tcBorders>
            <w:tcMar>
              <w:top w:w="0" w:type="dxa"/>
              <w:left w:w="100" w:type="dxa"/>
              <w:bottom w:w="0" w:type="dxa"/>
              <w:right w:w="100" w:type="dxa"/>
            </w:tcMar>
            <w:hideMark/>
          </w:tcPr>
          <w:p w:rsidR="001F6023" w:rsidRPr="001F6023" w:rsidRDefault="001F6023" w:rsidP="001F6023">
            <w:pPr>
              <w:spacing w:before="240" w:after="0" w:line="240" w:lineRule="auto"/>
              <w:ind w:left="140"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Reduction of Oil and Gas production emissions</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calls for increased disclosure and funding for zero- and near-zero emission technologies around oil and gas production operations to reduce NOx and PM2.5 emissions.</w:t>
            </w:r>
          </w:p>
        </w:tc>
      </w:tr>
      <w:tr w:rsidR="001F6023" w:rsidRPr="001F6023" w:rsidTr="001F6023">
        <w:trPr>
          <w:trHeight w:val="330"/>
        </w:trPr>
        <w:tc>
          <w:tcPr>
            <w:tcW w:w="0" w:type="auto"/>
            <w:vMerge w:val="restart"/>
            <w:tcBorders>
              <w:top w:val="single" w:sz="8" w:space="0" w:color="000000"/>
              <w:left w:val="single" w:sz="8" w:space="0" w:color="000000"/>
              <w:bottom w:val="single" w:sz="4" w:space="0" w:color="000000"/>
              <w:right w:val="single" w:sz="4" w:space="0" w:color="000000"/>
            </w:tcBorders>
            <w:tcMar>
              <w:top w:w="0" w:type="dxa"/>
              <w:left w:w="100" w:type="dxa"/>
              <w:bottom w:w="0" w:type="dxa"/>
              <w:right w:w="100" w:type="dxa"/>
            </w:tcMar>
            <w:hideMark/>
          </w:tcPr>
          <w:p w:rsidR="001F6023" w:rsidRPr="001F6023" w:rsidRDefault="001F6023" w:rsidP="001F6023">
            <w:pPr>
              <w:spacing w:before="240" w:after="0" w:line="240" w:lineRule="auto"/>
              <w:ind w:left="140"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lastRenderedPageBreak/>
              <w:t>Burning and Wildfire exposure reduction</w:t>
            </w:r>
          </w:p>
        </w:tc>
        <w:tc>
          <w:tcPr>
            <w:tcW w:w="0" w:type="auto"/>
            <w:tcBorders>
              <w:top w:val="single" w:sz="8"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LCSC requests the Air District to organize a workshop for Lost Hills to educate the local farming community on open burning regulations, the smoke management program, and incentives to reduce burning through other methods.</w:t>
            </w:r>
          </w:p>
        </w:tc>
      </w:tr>
      <w:tr w:rsidR="001F6023" w:rsidRPr="001F6023" w:rsidTr="001F6023">
        <w:trPr>
          <w:trHeight w:val="3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requests that the "Clean Air Rooms" program to provide free residential air filtration units be opened to residents and that a community outreach campaign be developed through schools and in-person enrollment events.</w:t>
            </w:r>
          </w:p>
        </w:tc>
      </w:tr>
      <w:tr w:rsidR="001F6023" w:rsidRPr="001F6023" w:rsidTr="001F6023">
        <w:trPr>
          <w:trHeight w:val="330"/>
        </w:trPr>
        <w:tc>
          <w:tcPr>
            <w:tcW w:w="0" w:type="auto"/>
            <w:vMerge w:val="restart"/>
            <w:tcBorders>
              <w:top w:val="single" w:sz="4" w:space="0" w:color="000000"/>
              <w:left w:val="single" w:sz="8" w:space="0" w:color="000000"/>
              <w:bottom w:val="single" w:sz="8" w:space="0" w:color="000000"/>
              <w:right w:val="single" w:sz="4" w:space="0" w:color="000000"/>
            </w:tcBorders>
            <w:tcMar>
              <w:top w:w="0" w:type="dxa"/>
              <w:left w:w="100" w:type="dxa"/>
              <w:bottom w:w="0" w:type="dxa"/>
              <w:right w:w="100" w:type="dxa"/>
            </w:tcMar>
            <w:hideMark/>
          </w:tcPr>
          <w:p w:rsidR="001F6023" w:rsidRPr="001F6023" w:rsidRDefault="001F6023" w:rsidP="001F6023">
            <w:pPr>
              <w:spacing w:before="240" w:after="0" w:line="240" w:lineRule="auto"/>
              <w:ind w:left="140"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Climate and Energy Resilience</w:t>
            </w: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Electrify homes by switching to high-efficiency appliances, reducing the use of fossil fuels such as natural gas and propane combined with installing solar panels with batteries.</w:t>
            </w:r>
          </w:p>
        </w:tc>
      </w:tr>
      <w:tr w:rsidR="001F6023" w:rsidRPr="001F6023" w:rsidTr="001F6023">
        <w:trPr>
          <w:trHeight w:val="330"/>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before="240" w:after="240" w:line="240" w:lineRule="auto"/>
              <w:rPr>
                <w:rFonts w:ascii="Times New Roman" w:eastAsia="Times New Roman" w:hAnsi="Times New Roman" w:cs="Times New Roman"/>
                <w:sz w:val="24"/>
                <w:szCs w:val="24"/>
              </w:rPr>
            </w:pPr>
            <w:r w:rsidRPr="001F6023">
              <w:rPr>
                <w:rFonts w:ascii="Arial" w:eastAsia="Times New Roman" w:hAnsi="Arial" w:cs="Arial"/>
                <w:color w:val="000000"/>
                <w:sz w:val="24"/>
                <w:szCs w:val="24"/>
              </w:rPr>
              <w:t>Seek funding for financial incentives for the installation of solar photovoltaic (PV) systems, or for preferred rates for green energy in the community. </w:t>
            </w:r>
          </w:p>
        </w:tc>
      </w:tr>
      <w:tr w:rsidR="001F6023" w:rsidRPr="001F6023" w:rsidTr="001F6023">
        <w:trPr>
          <w:trHeight w:val="330"/>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Increase the number and availability of zero-emission electric vehicles for low-income families and provide public charging infrastructure.</w:t>
            </w:r>
          </w:p>
          <w:p w:rsidR="001F6023" w:rsidRPr="001F6023" w:rsidRDefault="001F6023" w:rsidP="001F6023">
            <w:pPr>
              <w:spacing w:after="0" w:line="240" w:lineRule="auto"/>
              <w:rPr>
                <w:rFonts w:ascii="Times New Roman" w:eastAsia="Times New Roman" w:hAnsi="Times New Roman" w:cs="Times New Roman"/>
                <w:sz w:val="24"/>
                <w:szCs w:val="24"/>
              </w:rPr>
            </w:pPr>
          </w:p>
        </w:tc>
      </w:tr>
      <w:tr w:rsidR="001F6023" w:rsidRPr="001F6023" w:rsidTr="001F6023">
        <w:trPr>
          <w:trHeight w:val="330"/>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will develop a low cost zero emission Car Share program </w:t>
            </w:r>
          </w:p>
        </w:tc>
      </w:tr>
      <w:tr w:rsidR="001F6023" w:rsidRPr="001F6023" w:rsidTr="001F6023">
        <w:trPr>
          <w:trHeight w:val="330"/>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Install public EV charging infrastructures to help our community support EV use.</w:t>
            </w:r>
          </w:p>
        </w:tc>
      </w:tr>
      <w:tr w:rsidR="001F6023" w:rsidRPr="001F6023" w:rsidTr="001F6023">
        <w:trPr>
          <w:trHeight w:val="330"/>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before="240" w:after="240" w:line="240" w:lineRule="auto"/>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will create a plan for Educational/ Mechanical training on electric vehicles. This strategy is to provide incentive funding to develop and advance the education of personnel on the mechanics, safe operation and maintenance of alternative fuel vehicles and infrastructure.</w:t>
            </w:r>
          </w:p>
        </w:tc>
      </w:tr>
      <w:tr w:rsidR="001F6023" w:rsidRPr="001F6023" w:rsidTr="001F6023">
        <w:trPr>
          <w:trHeight w:val="330"/>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0" w:type="dxa"/>
              <w:bottom w:w="0" w:type="dxa"/>
              <w:right w:w="100" w:type="dxa"/>
            </w:tcMar>
            <w:hideMark/>
          </w:tcPr>
          <w:p w:rsidR="001F6023" w:rsidRPr="001F6023" w:rsidRDefault="001F6023" w:rsidP="001F6023">
            <w:pPr>
              <w:spacing w:before="240" w:after="240" w:line="240" w:lineRule="auto"/>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will create a plan to reduce the impact of air pollution on children at schools and daycare facilities by upgrading the Air Filtration system and reducing particulate matter.</w:t>
            </w:r>
          </w:p>
        </w:tc>
      </w:tr>
      <w:tr w:rsidR="001F6023" w:rsidRPr="001F6023" w:rsidTr="001F6023">
        <w:trPr>
          <w:trHeight w:val="330"/>
        </w:trPr>
        <w:tc>
          <w:tcPr>
            <w:tcW w:w="0" w:type="auto"/>
            <w:vMerge/>
            <w:tcBorders>
              <w:top w:val="single" w:sz="4" w:space="0" w:color="000000"/>
              <w:left w:val="single" w:sz="8" w:space="0" w:color="000000"/>
              <w:bottom w:val="single" w:sz="8" w:space="0" w:color="000000"/>
              <w:right w:val="single" w:sz="4" w:space="0" w:color="000000"/>
            </w:tcBorders>
            <w:vAlign w:val="center"/>
            <w:hideMark/>
          </w:tcPr>
          <w:p w:rsidR="001F6023" w:rsidRPr="001F6023" w:rsidRDefault="001F6023" w:rsidP="001F60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8" w:space="0" w:color="000000"/>
              <w:right w:val="single" w:sz="8" w:space="0" w:color="000000"/>
            </w:tcBorders>
            <w:tcMar>
              <w:top w:w="0" w:type="dxa"/>
              <w:left w:w="100" w:type="dxa"/>
              <w:bottom w:w="0" w:type="dxa"/>
              <w:right w:w="100" w:type="dxa"/>
            </w:tcMar>
            <w:hideMark/>
          </w:tcPr>
          <w:p w:rsidR="001F6023" w:rsidRPr="001F6023" w:rsidRDefault="001F6023" w:rsidP="001F6023">
            <w:pPr>
              <w:spacing w:after="240" w:line="240" w:lineRule="auto"/>
              <w:ind w:right="140"/>
              <w:rPr>
                <w:rFonts w:ascii="Times New Roman" w:eastAsia="Times New Roman" w:hAnsi="Times New Roman" w:cs="Times New Roman"/>
                <w:sz w:val="24"/>
                <w:szCs w:val="24"/>
              </w:rPr>
            </w:pPr>
            <w:r w:rsidRPr="001F6023">
              <w:rPr>
                <w:rFonts w:ascii="Arial" w:eastAsia="Times New Roman" w:hAnsi="Arial" w:cs="Arial"/>
                <w:color w:val="000000"/>
                <w:sz w:val="24"/>
                <w:szCs w:val="24"/>
              </w:rPr>
              <w:t>The LCSC will work to create a plan for a climate resilience hub where families can seek shelter, services, and safety during extreme weather events and emergencies.  </w:t>
            </w:r>
          </w:p>
        </w:tc>
      </w:tr>
    </w:tbl>
    <w:p w:rsidR="001F6023" w:rsidRDefault="001F6023"/>
    <w:sectPr w:rsidR="001F6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23"/>
    <w:rsid w:val="001F6023"/>
    <w:rsid w:val="00306C7B"/>
    <w:rsid w:val="0064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083C"/>
  <w15:chartTrackingRefBased/>
  <w15:docId w15:val="{65001477-C49A-4A60-9AF4-9E6CDF97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0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033228">
      <w:bodyDiv w:val="1"/>
      <w:marLeft w:val="0"/>
      <w:marRight w:val="0"/>
      <w:marTop w:val="0"/>
      <w:marBottom w:val="0"/>
      <w:divBdr>
        <w:top w:val="none" w:sz="0" w:space="0" w:color="auto"/>
        <w:left w:val="none" w:sz="0" w:space="0" w:color="auto"/>
        <w:bottom w:val="none" w:sz="0" w:space="0" w:color="auto"/>
        <w:right w:val="none" w:sz="0" w:space="0" w:color="auto"/>
      </w:divBdr>
    </w:div>
    <w:div w:id="12781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Alonso</dc:creator>
  <cp:keywords/>
  <dc:description/>
  <cp:lastModifiedBy>Jesus Alonso</cp:lastModifiedBy>
  <cp:revision>2</cp:revision>
  <cp:lastPrinted>2026-02-17T20:28:00Z</cp:lastPrinted>
  <dcterms:created xsi:type="dcterms:W3CDTF">2026-02-17T20:14:00Z</dcterms:created>
  <dcterms:modified xsi:type="dcterms:W3CDTF">2026-02-23T04:18:00Z</dcterms:modified>
</cp:coreProperties>
</file>